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C7" w:rsidRDefault="00770A86" w:rsidP="001B12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Обзор новелл антикоррупционного законодательства</w:t>
      </w:r>
      <w:bookmarkStart w:id="0" w:name="_GoBack"/>
      <w:bookmarkEnd w:id="0"/>
    </w:p>
    <w:p w:rsidR="001B12F2" w:rsidRDefault="001B12F2" w:rsidP="001B12F2">
      <w:pPr>
        <w:jc w:val="center"/>
        <w:rPr>
          <w:sz w:val="32"/>
          <w:szCs w:val="32"/>
        </w:rPr>
      </w:pPr>
    </w:p>
    <w:p w:rsidR="006F488D" w:rsidRPr="006F488D" w:rsidRDefault="006F488D" w:rsidP="001B12F2">
      <w:pPr>
        <w:jc w:val="center"/>
        <w:rPr>
          <w:sz w:val="32"/>
          <w:szCs w:val="32"/>
        </w:rPr>
      </w:pPr>
    </w:p>
    <w:p w:rsidR="002D56C7" w:rsidRPr="002D56C7" w:rsidRDefault="002D56C7" w:rsidP="006F488D">
      <w:pPr>
        <w:ind w:firstLine="708"/>
        <w:jc w:val="both"/>
        <w:rPr>
          <w:sz w:val="28"/>
          <w:szCs w:val="28"/>
        </w:rPr>
      </w:pPr>
      <w:proofErr w:type="gramStart"/>
      <w:r w:rsidRPr="002D56C7">
        <w:rPr>
          <w:sz w:val="28"/>
          <w:szCs w:val="28"/>
        </w:rPr>
        <w:t xml:space="preserve">В течение последних лет является устоявшейся практика подготовки </w:t>
      </w:r>
      <w:r w:rsidR="006F488D">
        <w:rPr>
          <w:sz w:val="28"/>
          <w:szCs w:val="28"/>
        </w:rPr>
        <w:br/>
      </w:r>
      <w:r w:rsidRPr="002D56C7">
        <w:rPr>
          <w:sz w:val="28"/>
          <w:szCs w:val="28"/>
        </w:rPr>
        <w:t>Министерством труда и социальной защиты Российской Федерации ежегодно обновляемых Методических рекомендаций по вопросам представления свед</w:t>
      </w:r>
      <w:r w:rsidRPr="002D56C7">
        <w:rPr>
          <w:sz w:val="28"/>
          <w:szCs w:val="28"/>
        </w:rPr>
        <w:t>е</w:t>
      </w:r>
      <w:r w:rsidRPr="002D56C7">
        <w:rPr>
          <w:sz w:val="28"/>
          <w:szCs w:val="28"/>
        </w:rPr>
        <w:t xml:space="preserve">ний о доходах, расходах, об имуществе и обязательствах имущественного </w:t>
      </w:r>
      <w:r w:rsidR="006F488D">
        <w:rPr>
          <w:sz w:val="28"/>
          <w:szCs w:val="28"/>
        </w:rPr>
        <w:br/>
      </w:r>
      <w:r w:rsidRPr="002D56C7">
        <w:rPr>
          <w:sz w:val="28"/>
          <w:szCs w:val="28"/>
        </w:rPr>
        <w:t xml:space="preserve">характера и заполнения соответствующей формы справки, </w:t>
      </w:r>
      <w:r w:rsidR="00297087">
        <w:rPr>
          <w:sz w:val="28"/>
          <w:szCs w:val="28"/>
        </w:rPr>
        <w:t xml:space="preserve">утвержденной </w:t>
      </w:r>
      <w:r w:rsidR="00297087" w:rsidRPr="006F488D">
        <w:rPr>
          <w:sz w:val="28"/>
          <w:szCs w:val="28"/>
        </w:rPr>
        <w:t>Указ Президента РФ от 23 июня 2014 г. № 460 «Об утверждении формы справк</w:t>
      </w:r>
      <w:r w:rsidR="00297087" w:rsidRPr="00297087">
        <w:rPr>
          <w:sz w:val="28"/>
          <w:szCs w:val="28"/>
        </w:rPr>
        <w:t>и о</w:t>
      </w:r>
      <w:proofErr w:type="gramEnd"/>
      <w:r w:rsidR="00297087" w:rsidRPr="00297087">
        <w:rPr>
          <w:sz w:val="28"/>
          <w:szCs w:val="28"/>
        </w:rPr>
        <w:t xml:space="preserve"> </w:t>
      </w:r>
      <w:proofErr w:type="gramStart"/>
      <w:r w:rsidR="00297087" w:rsidRPr="00297087">
        <w:rPr>
          <w:sz w:val="28"/>
          <w:szCs w:val="28"/>
        </w:rPr>
        <w:t>доходах</w:t>
      </w:r>
      <w:proofErr w:type="gramEnd"/>
      <w:r w:rsidR="00297087" w:rsidRPr="00297087">
        <w:rPr>
          <w:sz w:val="28"/>
          <w:szCs w:val="28"/>
        </w:rPr>
        <w:t>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2D56C7">
        <w:rPr>
          <w:sz w:val="28"/>
          <w:szCs w:val="28"/>
        </w:rPr>
        <w:t>.</w:t>
      </w:r>
    </w:p>
    <w:p w:rsidR="006F488D" w:rsidRDefault="002D56C7" w:rsidP="00297087">
      <w:pPr>
        <w:ind w:firstLine="708"/>
        <w:jc w:val="both"/>
        <w:rPr>
          <w:sz w:val="28"/>
          <w:szCs w:val="28"/>
        </w:rPr>
      </w:pPr>
      <w:r w:rsidRPr="002D56C7">
        <w:rPr>
          <w:sz w:val="28"/>
          <w:szCs w:val="28"/>
        </w:rPr>
        <w:t>Методические рекомендации для применения в ходе декларационной кампании 2019 года (за отчетный 2018 год) подготовлены Министерством при участии Администрации Президента Российской Федерации, Центрального банка Российской Федерации и согласованы Генеральной прокуратурой Ро</w:t>
      </w:r>
      <w:r w:rsidRPr="002D56C7">
        <w:rPr>
          <w:sz w:val="28"/>
          <w:szCs w:val="28"/>
        </w:rPr>
        <w:t>с</w:t>
      </w:r>
      <w:r w:rsidRPr="002D56C7">
        <w:rPr>
          <w:sz w:val="28"/>
          <w:szCs w:val="28"/>
        </w:rPr>
        <w:t>сийской Федерации.</w:t>
      </w:r>
      <w:r w:rsidR="00297087">
        <w:rPr>
          <w:sz w:val="28"/>
          <w:szCs w:val="28"/>
        </w:rPr>
        <w:t xml:space="preserve"> </w:t>
      </w:r>
    </w:p>
    <w:p w:rsidR="00297087" w:rsidRDefault="00297087" w:rsidP="00297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Методические рекомендации, а также основные новеллы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полнительные комментарии к методическим рекомендациям размещены на сайте департамента ветеринарии Краснодарского края в разделе Антикорру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ционная деятельность в подразделе Методические материалы. Кроме того </w:t>
      </w:r>
      <w:r w:rsidR="006F488D">
        <w:rPr>
          <w:sz w:val="28"/>
          <w:szCs w:val="28"/>
        </w:rPr>
        <w:br/>
      </w:r>
      <w:r>
        <w:rPr>
          <w:sz w:val="28"/>
          <w:szCs w:val="28"/>
        </w:rPr>
        <w:t xml:space="preserve">обновлена </w:t>
      </w:r>
      <w:r w:rsidRPr="00297087">
        <w:rPr>
          <w:i/>
          <w:sz w:val="28"/>
          <w:szCs w:val="28"/>
          <w:u w:val="single"/>
        </w:rPr>
        <w:t>версия</w:t>
      </w:r>
      <w:r>
        <w:rPr>
          <w:sz w:val="28"/>
          <w:szCs w:val="28"/>
        </w:rPr>
        <w:t xml:space="preserve"> программы </w:t>
      </w:r>
      <w:r w:rsidRPr="00297087">
        <w:rPr>
          <w:i/>
          <w:sz w:val="28"/>
          <w:szCs w:val="28"/>
          <w:u w:val="single"/>
        </w:rPr>
        <w:t>Справки БК</w:t>
      </w:r>
      <w:r>
        <w:rPr>
          <w:sz w:val="28"/>
          <w:szCs w:val="28"/>
        </w:rPr>
        <w:t xml:space="preserve"> и </w:t>
      </w:r>
      <w:r w:rsidRPr="00297087">
        <w:rPr>
          <w:i/>
          <w:sz w:val="28"/>
          <w:szCs w:val="28"/>
          <w:u w:val="single"/>
        </w:rPr>
        <w:t>Фома</w:t>
      </w:r>
      <w:r>
        <w:rPr>
          <w:sz w:val="28"/>
          <w:szCs w:val="28"/>
        </w:rPr>
        <w:t xml:space="preserve"> для предоставления </w:t>
      </w:r>
      <w:r w:rsidRPr="00297087">
        <w:rPr>
          <w:i/>
          <w:sz w:val="28"/>
          <w:szCs w:val="28"/>
          <w:u w:val="single"/>
        </w:rPr>
        <w:t>сведений об адресах сайтов и (или) страниц сайтов, на которых, гражданские служ</w:t>
      </w:r>
      <w:r w:rsidRPr="00297087">
        <w:rPr>
          <w:i/>
          <w:sz w:val="28"/>
          <w:szCs w:val="28"/>
          <w:u w:val="single"/>
        </w:rPr>
        <w:t>а</w:t>
      </w:r>
      <w:r w:rsidRPr="00297087">
        <w:rPr>
          <w:i/>
          <w:sz w:val="28"/>
          <w:szCs w:val="28"/>
          <w:u w:val="single"/>
        </w:rPr>
        <w:t>щие размещали общедоступную информацию, а также данные, позволяющие их идентифицировать</w:t>
      </w:r>
      <w:r>
        <w:rPr>
          <w:sz w:val="28"/>
          <w:szCs w:val="28"/>
        </w:rPr>
        <w:t xml:space="preserve"> в подразделе </w:t>
      </w:r>
      <w:r w:rsidRPr="00B21EC8">
        <w:rPr>
          <w:sz w:val="28"/>
          <w:szCs w:val="28"/>
        </w:rPr>
        <w:t>Формы документов, связанных с против</w:t>
      </w:r>
      <w:r w:rsidRPr="00B21EC8">
        <w:rPr>
          <w:sz w:val="28"/>
          <w:szCs w:val="28"/>
        </w:rPr>
        <w:t>о</w:t>
      </w:r>
      <w:r w:rsidRPr="00B21EC8">
        <w:rPr>
          <w:sz w:val="28"/>
          <w:szCs w:val="28"/>
        </w:rPr>
        <w:t>действием коррупции, для заполнения</w:t>
      </w:r>
      <w:r>
        <w:rPr>
          <w:sz w:val="28"/>
          <w:szCs w:val="28"/>
        </w:rPr>
        <w:t xml:space="preserve">. </w:t>
      </w:r>
    </w:p>
    <w:p w:rsidR="00297087" w:rsidRPr="00297087" w:rsidRDefault="00297087" w:rsidP="001B12F2">
      <w:pPr>
        <w:ind w:firstLine="708"/>
        <w:jc w:val="both"/>
        <w:rPr>
          <w:b/>
          <w:sz w:val="28"/>
          <w:szCs w:val="28"/>
        </w:rPr>
      </w:pPr>
      <w:r w:rsidRPr="00297087">
        <w:rPr>
          <w:b/>
          <w:sz w:val="28"/>
          <w:szCs w:val="28"/>
        </w:rPr>
        <w:t>В ходе использования в работе Методических рекомендаций предл</w:t>
      </w:r>
      <w:r w:rsidRPr="00297087">
        <w:rPr>
          <w:b/>
          <w:sz w:val="28"/>
          <w:szCs w:val="28"/>
        </w:rPr>
        <w:t>а</w:t>
      </w:r>
      <w:r w:rsidRPr="00297087">
        <w:rPr>
          <w:b/>
          <w:sz w:val="28"/>
          <w:szCs w:val="28"/>
        </w:rPr>
        <w:t>гаем обратить внимание на следующее.</w:t>
      </w:r>
    </w:p>
    <w:p w:rsidR="00297087" w:rsidRPr="008E172F" w:rsidRDefault="008E172F" w:rsidP="001B12F2">
      <w:pPr>
        <w:ind w:firstLine="708"/>
        <w:jc w:val="both"/>
        <w:rPr>
          <w:sz w:val="28"/>
          <w:szCs w:val="28"/>
        </w:rPr>
      </w:pPr>
      <w:proofErr w:type="gramStart"/>
      <w:r w:rsidRPr="008E172F">
        <w:rPr>
          <w:sz w:val="28"/>
          <w:szCs w:val="28"/>
        </w:rPr>
        <w:t>Методические рекомендации дополнены порядком представления уто</w:t>
      </w:r>
      <w:r w:rsidRPr="008E172F">
        <w:rPr>
          <w:sz w:val="28"/>
          <w:szCs w:val="28"/>
        </w:rPr>
        <w:t>ч</w:t>
      </w:r>
      <w:r w:rsidRPr="008E172F">
        <w:rPr>
          <w:sz w:val="28"/>
          <w:szCs w:val="28"/>
        </w:rPr>
        <w:t>ненных сведений, в частности, при уточнении необходимо представлять только ту справку о доходах, расходах, об имуществе и обязательствах имущественн</w:t>
      </w:r>
      <w:r w:rsidRPr="008E172F">
        <w:rPr>
          <w:sz w:val="28"/>
          <w:szCs w:val="28"/>
        </w:rPr>
        <w:t>о</w:t>
      </w:r>
      <w:r w:rsidRPr="008E172F">
        <w:rPr>
          <w:sz w:val="28"/>
          <w:szCs w:val="28"/>
        </w:rPr>
        <w:t>го характера, в которой не отражены или не полностью отражены какие-либо сведения либо имеются ошибки.</w:t>
      </w:r>
      <w:proofErr w:type="gramEnd"/>
    </w:p>
    <w:p w:rsidR="001B12F2" w:rsidRDefault="001B12F2" w:rsidP="001B12F2">
      <w:pPr>
        <w:ind w:firstLine="708"/>
        <w:jc w:val="both"/>
        <w:rPr>
          <w:b/>
          <w:sz w:val="28"/>
          <w:szCs w:val="28"/>
        </w:rPr>
      </w:pPr>
      <w:r w:rsidRPr="0029491F">
        <w:rPr>
          <w:b/>
          <w:sz w:val="28"/>
          <w:szCs w:val="28"/>
        </w:rPr>
        <w:t>Основн</w:t>
      </w:r>
      <w:r w:rsidR="00725633">
        <w:rPr>
          <w:b/>
          <w:sz w:val="28"/>
          <w:szCs w:val="28"/>
        </w:rPr>
        <w:t>ы</w:t>
      </w:r>
      <w:r w:rsidRPr="0029491F">
        <w:rPr>
          <w:b/>
          <w:sz w:val="28"/>
          <w:szCs w:val="28"/>
        </w:rPr>
        <w:t xml:space="preserve">е </w:t>
      </w:r>
      <w:r w:rsidR="00A868AC">
        <w:rPr>
          <w:b/>
          <w:sz w:val="28"/>
          <w:szCs w:val="28"/>
        </w:rPr>
        <w:t xml:space="preserve">разделы, </w:t>
      </w:r>
      <w:r w:rsidRPr="0029491F">
        <w:rPr>
          <w:b/>
          <w:sz w:val="28"/>
          <w:szCs w:val="28"/>
        </w:rPr>
        <w:t xml:space="preserve">на </w:t>
      </w:r>
      <w:r w:rsidR="00A868AC">
        <w:rPr>
          <w:b/>
          <w:sz w:val="28"/>
          <w:szCs w:val="28"/>
        </w:rPr>
        <w:t>которые</w:t>
      </w:r>
      <w:r w:rsidRPr="0029491F">
        <w:rPr>
          <w:b/>
          <w:sz w:val="28"/>
          <w:szCs w:val="28"/>
        </w:rPr>
        <w:t xml:space="preserve"> следует обратить внимание</w:t>
      </w:r>
      <w:r w:rsidR="005A47F1">
        <w:rPr>
          <w:b/>
          <w:sz w:val="28"/>
          <w:szCs w:val="28"/>
        </w:rPr>
        <w:t xml:space="preserve"> при з</w:t>
      </w:r>
      <w:r w:rsidR="005A47F1">
        <w:rPr>
          <w:b/>
          <w:sz w:val="28"/>
          <w:szCs w:val="28"/>
        </w:rPr>
        <w:t>а</w:t>
      </w:r>
      <w:r w:rsidR="005A47F1">
        <w:rPr>
          <w:b/>
          <w:sz w:val="28"/>
          <w:szCs w:val="28"/>
        </w:rPr>
        <w:t>полнении справки о доходах, расходах, об имуществе и обязательствах имущественного характера</w:t>
      </w:r>
      <w:r w:rsidR="00A868AC">
        <w:rPr>
          <w:b/>
          <w:sz w:val="28"/>
          <w:szCs w:val="28"/>
        </w:rPr>
        <w:t xml:space="preserve"> это:</w:t>
      </w:r>
    </w:p>
    <w:p w:rsidR="00297087" w:rsidRDefault="008E172F" w:rsidP="001B12F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Сведения о доходах</w:t>
      </w:r>
    </w:p>
    <w:p w:rsidR="008E172F" w:rsidRDefault="008E172F" w:rsidP="001B12F2">
      <w:pPr>
        <w:ind w:firstLine="708"/>
        <w:jc w:val="both"/>
        <w:rPr>
          <w:sz w:val="28"/>
          <w:szCs w:val="28"/>
        </w:rPr>
      </w:pPr>
      <w:r w:rsidRPr="00642A1C">
        <w:rPr>
          <w:i/>
          <w:sz w:val="28"/>
          <w:szCs w:val="28"/>
        </w:rPr>
        <w:t xml:space="preserve">Строка </w:t>
      </w:r>
      <w:r w:rsidR="00642A1C">
        <w:rPr>
          <w:i/>
          <w:sz w:val="28"/>
          <w:szCs w:val="28"/>
        </w:rPr>
        <w:t xml:space="preserve">6 </w:t>
      </w:r>
      <w:r w:rsidRPr="00642A1C">
        <w:rPr>
          <w:i/>
          <w:sz w:val="28"/>
          <w:szCs w:val="28"/>
        </w:rPr>
        <w:t xml:space="preserve">иные доходы </w:t>
      </w:r>
      <w:r w:rsidRPr="00CD7D2B">
        <w:rPr>
          <w:sz w:val="28"/>
          <w:szCs w:val="28"/>
        </w:rPr>
        <w:t>дополнена следующими видами доходов</w:t>
      </w:r>
      <w:r>
        <w:rPr>
          <w:sz w:val="28"/>
          <w:szCs w:val="28"/>
        </w:rPr>
        <w:t>:</w:t>
      </w:r>
    </w:p>
    <w:p w:rsidR="008E172F" w:rsidRPr="008E172F" w:rsidRDefault="008E172F" w:rsidP="001B1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 в случае продажи мелкого имущества (н-р предметы обычной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машней обстановки, обихода и т.д.) рекомендуется указывать совокупный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 от их реализации;</w:t>
      </w:r>
    </w:p>
    <w:p w:rsidR="00297087" w:rsidRDefault="00642A1C" w:rsidP="001B1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средства, полученные в связи с прощением долга служащему (работнику), его супруге, супругу или несовершеннолетним детям.</w:t>
      </w:r>
    </w:p>
    <w:p w:rsidR="00276D1C" w:rsidRPr="00276D1C" w:rsidRDefault="00276D1C" w:rsidP="001B12F2">
      <w:pPr>
        <w:ind w:firstLine="708"/>
        <w:jc w:val="both"/>
        <w:rPr>
          <w:b/>
          <w:sz w:val="28"/>
          <w:szCs w:val="28"/>
        </w:rPr>
      </w:pPr>
      <w:r w:rsidRPr="00276D1C">
        <w:rPr>
          <w:b/>
          <w:sz w:val="28"/>
          <w:szCs w:val="28"/>
        </w:rPr>
        <w:t>Раздел 4. Сведения о счетах в банках и иных кредитных организац</w:t>
      </w:r>
      <w:r w:rsidRPr="00276D1C">
        <w:rPr>
          <w:b/>
          <w:sz w:val="28"/>
          <w:szCs w:val="28"/>
        </w:rPr>
        <w:t>и</w:t>
      </w:r>
      <w:r w:rsidRPr="00276D1C">
        <w:rPr>
          <w:b/>
          <w:sz w:val="28"/>
          <w:szCs w:val="28"/>
        </w:rPr>
        <w:t>ях</w:t>
      </w:r>
    </w:p>
    <w:p w:rsidR="00276D1C" w:rsidRDefault="00276D1C" w:rsidP="001B1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данном разделе справки отражается информация </w:t>
      </w:r>
      <w:r w:rsidR="00634EC8">
        <w:rPr>
          <w:sz w:val="28"/>
          <w:szCs w:val="28"/>
        </w:rPr>
        <w:t>обо всех счетах, о</w:t>
      </w:r>
      <w:r w:rsidR="00634EC8">
        <w:rPr>
          <w:sz w:val="28"/>
          <w:szCs w:val="28"/>
        </w:rPr>
        <w:t>т</w:t>
      </w:r>
      <w:r w:rsidR="00634EC8">
        <w:rPr>
          <w:sz w:val="28"/>
          <w:szCs w:val="28"/>
        </w:rPr>
        <w:t>крытых по состоянию на отчетную дату в банках и иных кредитных организ</w:t>
      </w:r>
      <w:r w:rsidR="00634EC8">
        <w:rPr>
          <w:sz w:val="28"/>
          <w:szCs w:val="28"/>
        </w:rPr>
        <w:t>а</w:t>
      </w:r>
      <w:r w:rsidR="00634EC8">
        <w:rPr>
          <w:sz w:val="28"/>
          <w:szCs w:val="28"/>
        </w:rPr>
        <w:t>циях на основании гражданско-правового договора на имя лица, в отношении которого представляется справка.</w:t>
      </w:r>
    </w:p>
    <w:p w:rsidR="00634EC8" w:rsidRDefault="00634EC8" w:rsidP="001B1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подлеж</w:t>
      </w:r>
      <w:r w:rsidR="00F53AF9">
        <w:rPr>
          <w:sz w:val="28"/>
          <w:szCs w:val="28"/>
        </w:rPr>
        <w:t>ит</w:t>
      </w:r>
      <w:r>
        <w:rPr>
          <w:sz w:val="28"/>
          <w:szCs w:val="28"/>
        </w:rPr>
        <w:t xml:space="preserve"> указанию </w:t>
      </w:r>
      <w:r w:rsidR="00F53AF9">
        <w:rPr>
          <w:sz w:val="28"/>
          <w:szCs w:val="28"/>
        </w:rPr>
        <w:t xml:space="preserve">информация о следующих открытых </w:t>
      </w:r>
      <w:r>
        <w:rPr>
          <w:sz w:val="28"/>
          <w:szCs w:val="28"/>
        </w:rPr>
        <w:t>счета</w:t>
      </w:r>
      <w:r w:rsidR="00F53AF9">
        <w:rPr>
          <w:sz w:val="28"/>
          <w:szCs w:val="28"/>
        </w:rPr>
        <w:t>х (в том числе по счетам, к которым не выпущены пластиковые карты):</w:t>
      </w:r>
      <w:r>
        <w:rPr>
          <w:sz w:val="28"/>
          <w:szCs w:val="28"/>
        </w:rPr>
        <w:t xml:space="preserve"> </w:t>
      </w:r>
    </w:p>
    <w:p w:rsidR="00634EC8" w:rsidRDefault="00634EC8" w:rsidP="001B1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счета совершение </w:t>
      </w:r>
      <w:proofErr w:type="gramStart"/>
      <w:r>
        <w:rPr>
          <w:sz w:val="28"/>
          <w:szCs w:val="28"/>
        </w:rPr>
        <w:t>операций</w:t>
      </w:r>
      <w:proofErr w:type="gramEnd"/>
      <w:r>
        <w:rPr>
          <w:sz w:val="28"/>
          <w:szCs w:val="28"/>
        </w:rPr>
        <w:t xml:space="preserve"> по которым осуществляется с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расчетных (дебетовых) карт, </w:t>
      </w:r>
      <w:r w:rsidRPr="00634EC8">
        <w:rPr>
          <w:i/>
          <w:sz w:val="28"/>
          <w:szCs w:val="28"/>
        </w:rPr>
        <w:t>кредитных карт</w:t>
      </w:r>
      <w:r>
        <w:rPr>
          <w:sz w:val="28"/>
          <w:szCs w:val="28"/>
        </w:rPr>
        <w:t>, даже в случаях окончания срока действия этих карт (их блокировки), если счет данной карты не был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крыт банком или иной кредитной организацией по письменному заявлению владельца счета;</w:t>
      </w:r>
    </w:p>
    <w:p w:rsidR="00F53AF9" w:rsidRDefault="00F53AF9" w:rsidP="001B1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вклады (счета) в драгоценных металлах (в том числе указывается вид 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и металл, в котором он открыт). Остаток на вкладе (счете) в драгоценных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таллах указывается в рублях по курсу Банка России на отчетную дату.</w:t>
      </w:r>
    </w:p>
    <w:p w:rsidR="00F53AF9" w:rsidRDefault="00C76E6B" w:rsidP="001B1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целей антикоррупционного законодательства в данном разделе </w:t>
      </w:r>
      <w:r w:rsidRPr="008245AA">
        <w:rPr>
          <w:i/>
          <w:sz w:val="28"/>
          <w:szCs w:val="28"/>
        </w:rPr>
        <w:t>не указываются</w:t>
      </w:r>
      <w:r w:rsidR="008245AA">
        <w:rPr>
          <w:sz w:val="28"/>
          <w:szCs w:val="28"/>
        </w:rPr>
        <w:t>:</w:t>
      </w:r>
    </w:p>
    <w:p w:rsidR="00276D1C" w:rsidRDefault="008245AA" w:rsidP="001B1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счета, открытые кредитной организацией для внутреннего (бухгалтерск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го) учета (н-р: транзитный валютный счет), так как такие счета имеют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альное целевое значение и лицо не может распоряжаться денежными средств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 w:rsidR="00A0505E">
        <w:rPr>
          <w:sz w:val="28"/>
          <w:szCs w:val="28"/>
        </w:rPr>
        <w:t>с такого счета, поскольку они на данных счетах не находятся, а зачисляются на расчетный или иной счет клиента.</w:t>
      </w:r>
    </w:p>
    <w:p w:rsidR="00A9133F" w:rsidRPr="00A9133F" w:rsidRDefault="00A9133F" w:rsidP="00A9133F">
      <w:pPr>
        <w:ind w:firstLine="708"/>
        <w:jc w:val="both"/>
        <w:rPr>
          <w:sz w:val="28"/>
          <w:szCs w:val="28"/>
        </w:rPr>
      </w:pPr>
      <w:r w:rsidRPr="00A9133F">
        <w:rPr>
          <w:sz w:val="28"/>
          <w:szCs w:val="28"/>
        </w:rPr>
        <w:t>В соответствии с указанн</w:t>
      </w:r>
      <w:r>
        <w:rPr>
          <w:sz w:val="28"/>
          <w:szCs w:val="28"/>
        </w:rPr>
        <w:t>ыми</w:t>
      </w:r>
      <w:r w:rsidRPr="00A9133F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методическими рекомендациями</w:t>
      </w:r>
      <w:r w:rsidRPr="00A9133F">
        <w:rPr>
          <w:sz w:val="28"/>
          <w:szCs w:val="28"/>
        </w:rPr>
        <w:t xml:space="preserve"> физич</w:t>
      </w:r>
      <w:r w:rsidRPr="00A9133F">
        <w:rPr>
          <w:sz w:val="28"/>
          <w:szCs w:val="28"/>
        </w:rPr>
        <w:t>е</w:t>
      </w:r>
      <w:r w:rsidRPr="00A9133F">
        <w:rPr>
          <w:sz w:val="28"/>
          <w:szCs w:val="28"/>
        </w:rPr>
        <w:t>ским лицам открываются следующие счета:</w:t>
      </w:r>
    </w:p>
    <w:p w:rsidR="00A9133F" w:rsidRPr="00A9133F" w:rsidRDefault="00A9133F" w:rsidP="00A9133F">
      <w:pPr>
        <w:ind w:firstLine="708"/>
        <w:jc w:val="both"/>
        <w:rPr>
          <w:sz w:val="28"/>
          <w:szCs w:val="28"/>
        </w:rPr>
      </w:pPr>
      <w:r w:rsidRPr="00A9133F">
        <w:rPr>
          <w:i/>
          <w:sz w:val="28"/>
          <w:szCs w:val="28"/>
        </w:rPr>
        <w:t>текущий счет</w:t>
      </w:r>
      <w:r w:rsidRPr="00A9133F">
        <w:rPr>
          <w:sz w:val="28"/>
          <w:szCs w:val="28"/>
        </w:rPr>
        <w:t xml:space="preserve"> (для совершения операций, не связанных с предприним</w:t>
      </w:r>
      <w:r w:rsidRPr="00A9133F">
        <w:rPr>
          <w:sz w:val="28"/>
          <w:szCs w:val="28"/>
        </w:rPr>
        <w:t>а</w:t>
      </w:r>
      <w:r w:rsidRPr="00A9133F">
        <w:rPr>
          <w:sz w:val="28"/>
          <w:szCs w:val="28"/>
        </w:rPr>
        <w:t>тельской деятельностью или частной практикой);</w:t>
      </w:r>
    </w:p>
    <w:p w:rsidR="00A9133F" w:rsidRPr="00A9133F" w:rsidRDefault="00A9133F" w:rsidP="00A9133F">
      <w:pPr>
        <w:ind w:firstLine="708"/>
        <w:jc w:val="both"/>
        <w:rPr>
          <w:sz w:val="28"/>
          <w:szCs w:val="28"/>
        </w:rPr>
      </w:pPr>
      <w:r w:rsidRPr="00A9133F">
        <w:rPr>
          <w:i/>
          <w:sz w:val="28"/>
          <w:szCs w:val="28"/>
        </w:rPr>
        <w:t>депозитные счета</w:t>
      </w:r>
      <w:r w:rsidRPr="00A9133F">
        <w:rPr>
          <w:sz w:val="28"/>
          <w:szCs w:val="28"/>
        </w:rPr>
        <w:t xml:space="preserve"> (для учета денежных средств, размещаемых в банках с целью получения доходов в виде процентов, начисляемых на сумму размеще</w:t>
      </w:r>
      <w:r w:rsidRPr="00A9133F">
        <w:rPr>
          <w:sz w:val="28"/>
          <w:szCs w:val="28"/>
        </w:rPr>
        <w:t>н</w:t>
      </w:r>
      <w:r w:rsidRPr="00A9133F">
        <w:rPr>
          <w:sz w:val="28"/>
          <w:szCs w:val="28"/>
        </w:rPr>
        <w:t>ных денежных средств).</w:t>
      </w:r>
    </w:p>
    <w:p w:rsidR="00A9133F" w:rsidRPr="00A9133F" w:rsidRDefault="00A9133F" w:rsidP="00A9133F">
      <w:pPr>
        <w:ind w:firstLine="708"/>
        <w:jc w:val="both"/>
        <w:rPr>
          <w:sz w:val="28"/>
          <w:szCs w:val="28"/>
        </w:rPr>
      </w:pPr>
      <w:r w:rsidRPr="00A9133F">
        <w:rPr>
          <w:sz w:val="28"/>
          <w:szCs w:val="28"/>
        </w:rPr>
        <w:t>Счета по вкладу, в том числе по вкладам с наименованием «Классич</w:t>
      </w:r>
      <w:r w:rsidRPr="00A9133F">
        <w:rPr>
          <w:sz w:val="28"/>
          <w:szCs w:val="28"/>
        </w:rPr>
        <w:t>е</w:t>
      </w:r>
      <w:r w:rsidRPr="00A9133F">
        <w:rPr>
          <w:sz w:val="28"/>
          <w:szCs w:val="28"/>
        </w:rPr>
        <w:t xml:space="preserve">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6F488D" w:rsidRDefault="00A9133F" w:rsidP="00A9133F">
      <w:pPr>
        <w:ind w:firstLine="708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совместный счет (в</w:t>
      </w:r>
      <w:r w:rsidRPr="00A9133F">
        <w:rPr>
          <w:sz w:val="28"/>
          <w:szCs w:val="28"/>
        </w:rPr>
        <w:t xml:space="preserve"> случае заключения договора банковского счета с н</w:t>
      </w:r>
      <w:r w:rsidRPr="00A9133F">
        <w:rPr>
          <w:sz w:val="28"/>
          <w:szCs w:val="28"/>
        </w:rPr>
        <w:t>е</w:t>
      </w:r>
      <w:r w:rsidRPr="00A9133F">
        <w:rPr>
          <w:sz w:val="28"/>
          <w:szCs w:val="28"/>
        </w:rPr>
        <w:t>сколькими клиентами права на денежные средства, находящиеся на таком сч</w:t>
      </w:r>
      <w:r w:rsidRPr="00A9133F">
        <w:rPr>
          <w:sz w:val="28"/>
          <w:szCs w:val="28"/>
        </w:rPr>
        <w:t>е</w:t>
      </w:r>
      <w:r w:rsidRPr="00A9133F">
        <w:rPr>
          <w:sz w:val="28"/>
          <w:szCs w:val="28"/>
        </w:rPr>
        <w:t>те, считаются принадлежащими таким лицам в долях, определяемых пропорц</w:t>
      </w:r>
      <w:r w:rsidRPr="00A9133F">
        <w:rPr>
          <w:sz w:val="28"/>
          <w:szCs w:val="28"/>
        </w:rPr>
        <w:t>и</w:t>
      </w:r>
      <w:r w:rsidRPr="00A9133F">
        <w:rPr>
          <w:sz w:val="28"/>
          <w:szCs w:val="28"/>
        </w:rPr>
        <w:t>онально суммам денежных средств, внесенных каждым из клиентов или трет</w:t>
      </w:r>
      <w:r w:rsidRPr="00A9133F">
        <w:rPr>
          <w:sz w:val="28"/>
          <w:szCs w:val="28"/>
        </w:rPr>
        <w:t>ь</w:t>
      </w:r>
      <w:r w:rsidRPr="00A9133F">
        <w:rPr>
          <w:sz w:val="28"/>
          <w:szCs w:val="28"/>
        </w:rPr>
        <w:t>ими лицами в пользу каждого из клиентов, если иное не предусмотрено догов</w:t>
      </w:r>
      <w:r w:rsidRPr="00A9133F">
        <w:rPr>
          <w:sz w:val="28"/>
          <w:szCs w:val="28"/>
        </w:rPr>
        <w:t>о</w:t>
      </w:r>
      <w:r w:rsidRPr="00A9133F">
        <w:rPr>
          <w:sz w:val="28"/>
          <w:szCs w:val="28"/>
        </w:rPr>
        <w:t>ром банковского счета (договором установлена непропорциональность).</w:t>
      </w:r>
      <w:r>
        <w:rPr>
          <w:sz w:val="28"/>
          <w:szCs w:val="28"/>
        </w:rPr>
        <w:t xml:space="preserve"> </w:t>
      </w:r>
      <w:proofErr w:type="gramEnd"/>
    </w:p>
    <w:p w:rsidR="00276D1C" w:rsidRDefault="00A9133F" w:rsidP="00A9133F">
      <w:pPr>
        <w:ind w:firstLine="708"/>
        <w:jc w:val="both"/>
        <w:rPr>
          <w:sz w:val="28"/>
          <w:szCs w:val="28"/>
        </w:rPr>
      </w:pPr>
      <w:r w:rsidRPr="00A9133F">
        <w:rPr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</w:t>
      </w:r>
      <w:r w:rsidRPr="00A9133F">
        <w:rPr>
          <w:sz w:val="28"/>
          <w:szCs w:val="28"/>
        </w:rPr>
        <w:t>в</w:t>
      </w:r>
      <w:r w:rsidRPr="00A9133F">
        <w:rPr>
          <w:sz w:val="28"/>
          <w:szCs w:val="28"/>
        </w:rPr>
        <w:t>ляются общими правами клиентов-супругов, если иное не предусмотрено бра</w:t>
      </w:r>
      <w:r w:rsidRPr="00A9133F">
        <w:rPr>
          <w:sz w:val="28"/>
          <w:szCs w:val="28"/>
        </w:rPr>
        <w:t>ч</w:t>
      </w:r>
      <w:r w:rsidRPr="00A9133F">
        <w:rPr>
          <w:sz w:val="28"/>
          <w:szCs w:val="28"/>
        </w:rPr>
        <w:t>ным договором, о заключении которого клиенты-супруги уведомили банк.</w:t>
      </w:r>
    </w:p>
    <w:p w:rsidR="00A9133F" w:rsidRDefault="00A9133F" w:rsidP="00A9133F">
      <w:pPr>
        <w:ind w:firstLine="708"/>
        <w:jc w:val="both"/>
        <w:rPr>
          <w:sz w:val="28"/>
          <w:szCs w:val="28"/>
        </w:rPr>
      </w:pPr>
      <w:r w:rsidRPr="00A9133F">
        <w:rPr>
          <w:sz w:val="28"/>
          <w:szCs w:val="28"/>
        </w:rPr>
        <w:t xml:space="preserve">В графе </w:t>
      </w:r>
      <w:r w:rsidRPr="00A9133F">
        <w:rPr>
          <w:i/>
          <w:sz w:val="28"/>
          <w:szCs w:val="28"/>
        </w:rPr>
        <w:t>«Дата открытия счета»</w:t>
      </w:r>
      <w:r w:rsidRPr="00A9133F">
        <w:rPr>
          <w:sz w:val="28"/>
          <w:szCs w:val="28"/>
        </w:rPr>
        <w:t xml:space="preserve"> не допускается указание даты выпуска (</w:t>
      </w:r>
      <w:proofErr w:type="spellStart"/>
      <w:r w:rsidRPr="00A9133F">
        <w:rPr>
          <w:sz w:val="28"/>
          <w:szCs w:val="28"/>
        </w:rPr>
        <w:t>перевыпуска</w:t>
      </w:r>
      <w:proofErr w:type="spellEnd"/>
      <w:r w:rsidRPr="00A9133F">
        <w:rPr>
          <w:sz w:val="28"/>
          <w:szCs w:val="28"/>
        </w:rPr>
        <w:t>) платежной карты.</w:t>
      </w:r>
    </w:p>
    <w:p w:rsidR="00297087" w:rsidRPr="008C5072" w:rsidRDefault="008C5072" w:rsidP="001B12F2">
      <w:pPr>
        <w:ind w:firstLine="708"/>
        <w:jc w:val="both"/>
        <w:rPr>
          <w:b/>
          <w:sz w:val="28"/>
          <w:szCs w:val="28"/>
        </w:rPr>
      </w:pPr>
      <w:r w:rsidRPr="008C5072">
        <w:rPr>
          <w:b/>
          <w:sz w:val="28"/>
          <w:szCs w:val="28"/>
        </w:rPr>
        <w:t xml:space="preserve">Раздел 6. </w:t>
      </w:r>
      <w:r>
        <w:rPr>
          <w:b/>
          <w:sz w:val="28"/>
          <w:szCs w:val="28"/>
        </w:rPr>
        <w:t>Сведения об обязательствах имущественного характера</w:t>
      </w:r>
    </w:p>
    <w:p w:rsidR="00297087" w:rsidRPr="008C5072" w:rsidRDefault="008C5072" w:rsidP="001B12F2">
      <w:pPr>
        <w:ind w:firstLine="708"/>
        <w:jc w:val="both"/>
        <w:rPr>
          <w:i/>
          <w:sz w:val="28"/>
          <w:szCs w:val="28"/>
        </w:rPr>
      </w:pPr>
      <w:r w:rsidRPr="008C5072">
        <w:rPr>
          <w:i/>
          <w:sz w:val="28"/>
          <w:szCs w:val="28"/>
        </w:rPr>
        <w:t>Подраздел 6.2. Срочные обязательства финансового характера</w:t>
      </w:r>
    </w:p>
    <w:p w:rsidR="00297087" w:rsidRPr="008E172F" w:rsidRDefault="008C5072" w:rsidP="001B1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8C5072">
        <w:rPr>
          <w:sz w:val="28"/>
          <w:szCs w:val="28"/>
        </w:rPr>
        <w:t xml:space="preserve"> графе </w:t>
      </w:r>
      <w:r w:rsidRPr="008C5072">
        <w:rPr>
          <w:i/>
          <w:sz w:val="28"/>
          <w:szCs w:val="28"/>
        </w:rPr>
        <w:t>«Сумма обязательства / размер обязательства по состоянию на отчетную дату»</w:t>
      </w:r>
      <w:r w:rsidRPr="008C5072">
        <w:rPr>
          <w:sz w:val="28"/>
          <w:szCs w:val="28"/>
        </w:rPr>
        <w:t xml:space="preserve"> указываются сумма основного обязательства (без суммы пр</w:t>
      </w:r>
      <w:r w:rsidRPr="008C5072">
        <w:rPr>
          <w:sz w:val="28"/>
          <w:szCs w:val="28"/>
        </w:rPr>
        <w:t>о</w:t>
      </w:r>
      <w:r w:rsidRPr="008C5072">
        <w:rPr>
          <w:sz w:val="28"/>
          <w:szCs w:val="28"/>
        </w:rPr>
        <w:t>центов) (т.е. сумма кредита, долга) и размер обязательства (оставшийся неп</w:t>
      </w:r>
      <w:r w:rsidRPr="008C5072">
        <w:rPr>
          <w:sz w:val="28"/>
          <w:szCs w:val="28"/>
        </w:rPr>
        <w:t>о</w:t>
      </w:r>
      <w:r w:rsidRPr="008C5072">
        <w:rPr>
          <w:sz w:val="28"/>
          <w:szCs w:val="28"/>
        </w:rPr>
        <w:t xml:space="preserve">гашенным долг </w:t>
      </w:r>
      <w:r w:rsidRPr="008C5072">
        <w:rPr>
          <w:sz w:val="28"/>
          <w:szCs w:val="28"/>
          <w:u w:val="single"/>
        </w:rPr>
        <w:t>с суммой процентов</w:t>
      </w:r>
      <w:r w:rsidRPr="008C5072">
        <w:rPr>
          <w:sz w:val="28"/>
          <w:szCs w:val="28"/>
        </w:rPr>
        <w:t>) по состоянию на отчетную дату</w:t>
      </w:r>
      <w:r>
        <w:rPr>
          <w:sz w:val="28"/>
          <w:szCs w:val="28"/>
        </w:rPr>
        <w:t>.</w:t>
      </w:r>
    </w:p>
    <w:p w:rsidR="00297087" w:rsidRPr="00A76B69" w:rsidRDefault="008C5072" w:rsidP="001B12F2">
      <w:pPr>
        <w:ind w:firstLine="708"/>
        <w:jc w:val="both"/>
        <w:rPr>
          <w:i/>
          <w:sz w:val="28"/>
          <w:szCs w:val="28"/>
          <w:u w:val="single"/>
        </w:rPr>
      </w:pPr>
      <w:r w:rsidRPr="008C5072">
        <w:rPr>
          <w:i/>
          <w:sz w:val="28"/>
          <w:szCs w:val="28"/>
        </w:rPr>
        <w:t xml:space="preserve">Также этот подраздел дополнен следующими видами срочных </w:t>
      </w:r>
      <w:r w:rsidRPr="00A76B69">
        <w:rPr>
          <w:i/>
          <w:sz w:val="28"/>
          <w:szCs w:val="28"/>
          <w:u w:val="single"/>
        </w:rPr>
        <w:t>обяз</w:t>
      </w:r>
      <w:r w:rsidRPr="00A76B69">
        <w:rPr>
          <w:i/>
          <w:sz w:val="28"/>
          <w:szCs w:val="28"/>
          <w:u w:val="single"/>
        </w:rPr>
        <w:t>а</w:t>
      </w:r>
      <w:r w:rsidRPr="00A76B69">
        <w:rPr>
          <w:i/>
          <w:sz w:val="28"/>
          <w:szCs w:val="28"/>
          <w:u w:val="single"/>
        </w:rPr>
        <w:t>тельств финансового характера:</w:t>
      </w:r>
    </w:p>
    <w:p w:rsidR="008C5072" w:rsidRDefault="008C5072" w:rsidP="008C5072">
      <w:pPr>
        <w:ind w:firstLine="567"/>
        <w:jc w:val="both"/>
        <w:rPr>
          <w:b/>
          <w:sz w:val="28"/>
          <w:szCs w:val="28"/>
        </w:rPr>
      </w:pPr>
      <w:r w:rsidRPr="008C5072">
        <w:rPr>
          <w:b/>
          <w:i/>
          <w:sz w:val="28"/>
          <w:szCs w:val="28"/>
        </w:rPr>
        <w:t>обязательства по договорам</w:t>
      </w:r>
      <w:r>
        <w:rPr>
          <w:b/>
          <w:sz w:val="28"/>
          <w:szCs w:val="28"/>
        </w:rPr>
        <w:t xml:space="preserve"> страхования</w:t>
      </w:r>
      <w:r w:rsidRPr="00F06684">
        <w:rPr>
          <w:b/>
          <w:sz w:val="28"/>
          <w:szCs w:val="28"/>
        </w:rPr>
        <w:t xml:space="preserve"> жизни на случай смерти, д</w:t>
      </w:r>
      <w:r w:rsidRPr="00F06684">
        <w:rPr>
          <w:b/>
          <w:sz w:val="28"/>
          <w:szCs w:val="28"/>
        </w:rPr>
        <w:t>о</w:t>
      </w:r>
      <w:r w:rsidRPr="00F06684">
        <w:rPr>
          <w:b/>
          <w:sz w:val="28"/>
          <w:szCs w:val="28"/>
        </w:rPr>
        <w:t>жития до определенного возраста или срока либо наст</w:t>
      </w:r>
      <w:r>
        <w:rPr>
          <w:b/>
          <w:sz w:val="28"/>
          <w:szCs w:val="28"/>
        </w:rPr>
        <w:t>упления иного соб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тия; </w:t>
      </w:r>
      <w:r w:rsidRPr="008C5072">
        <w:rPr>
          <w:b/>
          <w:i/>
          <w:sz w:val="28"/>
          <w:szCs w:val="28"/>
        </w:rPr>
        <w:t>обязательства по договорам</w:t>
      </w:r>
      <w:r>
        <w:rPr>
          <w:b/>
          <w:sz w:val="28"/>
          <w:szCs w:val="28"/>
        </w:rPr>
        <w:t xml:space="preserve"> пенсионн</w:t>
      </w:r>
      <w:r w:rsidRPr="00F06684">
        <w:rPr>
          <w:b/>
          <w:sz w:val="28"/>
          <w:szCs w:val="28"/>
        </w:rPr>
        <w:t xml:space="preserve">ого страхования; </w:t>
      </w:r>
      <w:r w:rsidRPr="008C5072">
        <w:rPr>
          <w:b/>
          <w:i/>
          <w:sz w:val="28"/>
          <w:szCs w:val="28"/>
        </w:rPr>
        <w:t>обязательства по договорам</w:t>
      </w:r>
      <w:r>
        <w:rPr>
          <w:b/>
          <w:sz w:val="28"/>
          <w:szCs w:val="28"/>
        </w:rPr>
        <w:t xml:space="preserve"> </w:t>
      </w:r>
      <w:r w:rsidRPr="00F06684">
        <w:rPr>
          <w:b/>
          <w:sz w:val="28"/>
          <w:szCs w:val="28"/>
        </w:rPr>
        <w:t>страхования жизни с условием периодических страховых в</w:t>
      </w:r>
      <w:r w:rsidRPr="00F06684">
        <w:rPr>
          <w:b/>
          <w:sz w:val="28"/>
          <w:szCs w:val="28"/>
        </w:rPr>
        <w:t>ы</w:t>
      </w:r>
      <w:r w:rsidRPr="00F06684">
        <w:rPr>
          <w:b/>
          <w:sz w:val="28"/>
          <w:szCs w:val="28"/>
        </w:rPr>
        <w:t>плат (ренты, аннуитетов) и (или) с участием страхователя в инвестицио</w:t>
      </w:r>
      <w:r w:rsidRPr="00F06684">
        <w:rPr>
          <w:b/>
          <w:sz w:val="28"/>
          <w:szCs w:val="28"/>
        </w:rPr>
        <w:t>н</w:t>
      </w:r>
      <w:r w:rsidRPr="00F06684">
        <w:rPr>
          <w:b/>
          <w:sz w:val="28"/>
          <w:szCs w:val="28"/>
        </w:rPr>
        <w:t xml:space="preserve">ном доходе страховщика. </w:t>
      </w:r>
    </w:p>
    <w:p w:rsidR="00D460CA" w:rsidRDefault="00D460CA" w:rsidP="00D46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речь идет об обязательствах по договорам страхования, заключенным в соответствии с Законом Российской Федерации от 27 ноября 1992 г. № 4015-1 «</w:t>
      </w:r>
      <w:r w:rsidRPr="006B555E">
        <w:rPr>
          <w:sz w:val="28"/>
          <w:szCs w:val="28"/>
        </w:rPr>
        <w:t>Об организации страхового дела в Российской Федерации</w:t>
      </w:r>
      <w:r>
        <w:rPr>
          <w:sz w:val="28"/>
          <w:szCs w:val="28"/>
        </w:rPr>
        <w:t>».</w:t>
      </w:r>
    </w:p>
    <w:p w:rsidR="008C5072" w:rsidRDefault="008C5072" w:rsidP="008C5072">
      <w:pPr>
        <w:ind w:firstLine="567"/>
        <w:jc w:val="both"/>
        <w:rPr>
          <w:sz w:val="28"/>
          <w:szCs w:val="28"/>
        </w:rPr>
      </w:pPr>
      <w:r w:rsidRPr="00F06684">
        <w:rPr>
          <w:sz w:val="28"/>
          <w:szCs w:val="28"/>
        </w:rPr>
        <w:t>Данные договоры страхования предполагают накопление средств к опр</w:t>
      </w:r>
      <w:r w:rsidRPr="00F06684">
        <w:rPr>
          <w:sz w:val="28"/>
          <w:szCs w:val="28"/>
        </w:rPr>
        <w:t>е</w:t>
      </w:r>
      <w:r w:rsidRPr="00F06684">
        <w:rPr>
          <w:sz w:val="28"/>
          <w:szCs w:val="28"/>
        </w:rPr>
        <w:t>деленному возрасту страхователя или дожития им до установленного догов</w:t>
      </w:r>
      <w:r w:rsidRPr="00F06684">
        <w:rPr>
          <w:sz w:val="28"/>
          <w:szCs w:val="28"/>
        </w:rPr>
        <w:t>о</w:t>
      </w:r>
      <w:r w:rsidRPr="00F06684">
        <w:rPr>
          <w:sz w:val="28"/>
          <w:szCs w:val="28"/>
        </w:rPr>
        <w:t>ром страхования срока, заключаются на продолжительный период и в этой св</w:t>
      </w:r>
      <w:r w:rsidRPr="00F06684">
        <w:rPr>
          <w:sz w:val="28"/>
          <w:szCs w:val="28"/>
        </w:rPr>
        <w:t>я</w:t>
      </w:r>
      <w:r w:rsidRPr="00F06684">
        <w:rPr>
          <w:sz w:val="28"/>
          <w:szCs w:val="28"/>
        </w:rPr>
        <w:t xml:space="preserve">зи страховые выплаты по таким договорам </w:t>
      </w:r>
      <w:r>
        <w:rPr>
          <w:sz w:val="28"/>
          <w:szCs w:val="28"/>
        </w:rPr>
        <w:t>рассматриваются</w:t>
      </w:r>
      <w:r w:rsidRPr="00F06684">
        <w:rPr>
          <w:sz w:val="28"/>
          <w:szCs w:val="28"/>
        </w:rPr>
        <w:t xml:space="preserve"> в качестве дохода лица, </w:t>
      </w:r>
      <w:r>
        <w:rPr>
          <w:sz w:val="28"/>
          <w:szCs w:val="28"/>
        </w:rPr>
        <w:t>в отношении которого представляется справка</w:t>
      </w:r>
      <w:r w:rsidRPr="00F06684">
        <w:rPr>
          <w:sz w:val="28"/>
          <w:szCs w:val="28"/>
        </w:rPr>
        <w:t>.</w:t>
      </w:r>
    </w:p>
    <w:p w:rsidR="008C5072" w:rsidRDefault="008C5072" w:rsidP="008C50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осуществления страховой организацией страховой выплаты </w:t>
      </w:r>
      <w:r w:rsidRPr="000C4E88">
        <w:rPr>
          <w:sz w:val="28"/>
          <w:szCs w:val="28"/>
        </w:rPr>
        <w:t>информ</w:t>
      </w:r>
      <w:r w:rsidRPr="000C4E88">
        <w:rPr>
          <w:sz w:val="28"/>
          <w:szCs w:val="28"/>
        </w:rPr>
        <w:t>а</w:t>
      </w:r>
      <w:r w:rsidRPr="000C4E88">
        <w:rPr>
          <w:sz w:val="28"/>
          <w:szCs w:val="28"/>
        </w:rPr>
        <w:t xml:space="preserve">ция об имеющихся на отчетную дату обязательствах </w:t>
      </w:r>
      <w:r>
        <w:rPr>
          <w:sz w:val="28"/>
          <w:szCs w:val="28"/>
        </w:rPr>
        <w:t xml:space="preserve">страховой организации </w:t>
      </w:r>
      <w:r w:rsidRPr="000C4E88">
        <w:rPr>
          <w:sz w:val="28"/>
          <w:szCs w:val="28"/>
        </w:rPr>
        <w:t xml:space="preserve">по договору </w:t>
      </w:r>
      <w:r>
        <w:rPr>
          <w:sz w:val="28"/>
          <w:szCs w:val="28"/>
        </w:rPr>
        <w:t>страхования</w:t>
      </w:r>
      <w:r w:rsidRPr="000C4E88">
        <w:rPr>
          <w:sz w:val="28"/>
          <w:szCs w:val="28"/>
        </w:rPr>
        <w:t xml:space="preserve"> подлежит отражению в данном подразделе</w:t>
      </w:r>
      <w:r>
        <w:rPr>
          <w:sz w:val="28"/>
          <w:szCs w:val="28"/>
        </w:rPr>
        <w:t>.</w:t>
      </w:r>
    </w:p>
    <w:p w:rsidR="008C5072" w:rsidRDefault="008C5072" w:rsidP="008C50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13DF">
        <w:rPr>
          <w:sz w:val="28"/>
          <w:szCs w:val="28"/>
        </w:rPr>
        <w:t xml:space="preserve"> графе 3 подраздела 6.2 справки указывается вторая сторона обязател</w:t>
      </w:r>
      <w:r w:rsidRPr="002813DF">
        <w:rPr>
          <w:sz w:val="28"/>
          <w:szCs w:val="28"/>
        </w:rPr>
        <w:t>ь</w:t>
      </w:r>
      <w:r w:rsidRPr="002813DF">
        <w:rPr>
          <w:sz w:val="28"/>
          <w:szCs w:val="28"/>
        </w:rPr>
        <w:t xml:space="preserve">ства: должник, наименование юридического лица, адрес организации, с которой заключен </w:t>
      </w:r>
      <w:r>
        <w:rPr>
          <w:sz w:val="28"/>
          <w:szCs w:val="28"/>
        </w:rPr>
        <w:t xml:space="preserve">соответствующий </w:t>
      </w:r>
      <w:r w:rsidRPr="002813DF">
        <w:rPr>
          <w:sz w:val="28"/>
          <w:szCs w:val="28"/>
        </w:rPr>
        <w:t>договор, остальные графы заполняются также с</w:t>
      </w:r>
      <w:r w:rsidRPr="002813DF">
        <w:rPr>
          <w:sz w:val="28"/>
          <w:szCs w:val="28"/>
        </w:rPr>
        <w:t>о</w:t>
      </w:r>
      <w:r w:rsidRPr="002813DF">
        <w:rPr>
          <w:sz w:val="28"/>
          <w:szCs w:val="28"/>
        </w:rPr>
        <w:t>гласно ссылкам к данному разделу справки</w:t>
      </w:r>
      <w:r>
        <w:rPr>
          <w:sz w:val="28"/>
          <w:szCs w:val="28"/>
        </w:rPr>
        <w:t xml:space="preserve">. </w:t>
      </w:r>
      <w:r w:rsidRPr="002813DF">
        <w:rPr>
          <w:sz w:val="28"/>
          <w:szCs w:val="28"/>
        </w:rPr>
        <w:t>В графе 5 указываются сумма об</w:t>
      </w:r>
      <w:r w:rsidRPr="002813DF">
        <w:rPr>
          <w:sz w:val="28"/>
          <w:szCs w:val="28"/>
        </w:rPr>
        <w:t>я</w:t>
      </w:r>
      <w:r w:rsidRPr="002813DF">
        <w:rPr>
          <w:sz w:val="28"/>
          <w:szCs w:val="28"/>
        </w:rPr>
        <w:t>зательства и размер обязательства по состоянию на отчетную дату, выраженные в рублевом эквиваленте.</w:t>
      </w:r>
    </w:p>
    <w:p w:rsidR="00D460CA" w:rsidRDefault="00D460CA" w:rsidP="00D460CA">
      <w:pPr>
        <w:ind w:firstLine="567"/>
        <w:jc w:val="both"/>
        <w:rPr>
          <w:sz w:val="28"/>
          <w:szCs w:val="28"/>
        </w:rPr>
      </w:pPr>
      <w:r w:rsidRPr="00D460CA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отме</w:t>
      </w:r>
      <w:r w:rsidR="00031D23">
        <w:rPr>
          <w:sz w:val="28"/>
          <w:szCs w:val="28"/>
        </w:rPr>
        <w:t>чено</w:t>
      </w:r>
      <w:r w:rsidRPr="00D460CA">
        <w:rPr>
          <w:sz w:val="28"/>
          <w:szCs w:val="28"/>
        </w:rPr>
        <w:t xml:space="preserve">, что отсутствует необходимость отражения в </w:t>
      </w:r>
      <w:r>
        <w:rPr>
          <w:sz w:val="28"/>
          <w:szCs w:val="28"/>
        </w:rPr>
        <w:t>данном подразделе</w:t>
      </w:r>
      <w:r w:rsidRPr="00D460CA">
        <w:rPr>
          <w:sz w:val="28"/>
          <w:szCs w:val="28"/>
        </w:rPr>
        <w:t xml:space="preserve"> справки иных видов страхования, например, КАСКО, ОСАГО, а также не подлежат указанию договор</w:t>
      </w:r>
      <w:r>
        <w:rPr>
          <w:sz w:val="28"/>
          <w:szCs w:val="28"/>
        </w:rPr>
        <w:t>ы</w:t>
      </w:r>
      <w:r w:rsidRPr="00D460CA">
        <w:rPr>
          <w:sz w:val="28"/>
          <w:szCs w:val="28"/>
        </w:rPr>
        <w:t xml:space="preserve"> страхования, заключенные в рамках д</w:t>
      </w:r>
      <w:r w:rsidRPr="00D460CA">
        <w:rPr>
          <w:sz w:val="28"/>
          <w:szCs w:val="28"/>
        </w:rPr>
        <w:t>о</w:t>
      </w:r>
      <w:r w:rsidRPr="00D460CA">
        <w:rPr>
          <w:sz w:val="28"/>
          <w:szCs w:val="28"/>
        </w:rPr>
        <w:t>говора об ипотеке.</w:t>
      </w:r>
    </w:p>
    <w:p w:rsidR="00B711C4" w:rsidRDefault="00B304DD" w:rsidP="00D46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пенсионное страхование в России основывается на двух видах пенсий: государственной (в рамках обязательного пенсионного страхования) и негосударственной (в рамках добровольного пенсионного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хования). </w:t>
      </w:r>
    </w:p>
    <w:p w:rsidR="00B304DD" w:rsidRDefault="00B304DD" w:rsidP="00D46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пенсионное страхование осуществляется Пенсионным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дом России, который осуществляет функции страховщика. Добровольное 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сионное страхование осуществляется через страховые компании или негос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пенсионные фонды (далее – НПФ). Не стоит путать его с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чей накопительной части будущей пенсии в управление НПФ </w:t>
      </w:r>
      <w:r w:rsidR="00031D23">
        <w:rPr>
          <w:sz w:val="28"/>
          <w:szCs w:val="28"/>
        </w:rPr>
        <w:t>по программе обязательного пенсионного страхования или с участием в программе госуда</w:t>
      </w:r>
      <w:r w:rsidR="00031D23">
        <w:rPr>
          <w:sz w:val="28"/>
          <w:szCs w:val="28"/>
        </w:rPr>
        <w:t>р</w:t>
      </w:r>
      <w:r w:rsidR="00031D23">
        <w:rPr>
          <w:sz w:val="28"/>
          <w:szCs w:val="28"/>
        </w:rPr>
        <w:t xml:space="preserve">ственного </w:t>
      </w:r>
      <w:proofErr w:type="spellStart"/>
      <w:r w:rsidR="00031D23">
        <w:rPr>
          <w:sz w:val="28"/>
          <w:szCs w:val="28"/>
        </w:rPr>
        <w:t>софинансирования</w:t>
      </w:r>
      <w:proofErr w:type="spellEnd"/>
      <w:r w:rsidR="00031D23">
        <w:rPr>
          <w:sz w:val="28"/>
          <w:szCs w:val="28"/>
        </w:rPr>
        <w:t xml:space="preserve"> пенсии – все </w:t>
      </w:r>
      <w:r w:rsidR="001B05E1">
        <w:rPr>
          <w:sz w:val="28"/>
          <w:szCs w:val="28"/>
        </w:rPr>
        <w:t>э</w:t>
      </w:r>
      <w:r w:rsidR="00031D23">
        <w:rPr>
          <w:sz w:val="28"/>
          <w:szCs w:val="28"/>
        </w:rPr>
        <w:t>то разные вещи.</w:t>
      </w:r>
    </w:p>
    <w:p w:rsidR="00A76B69" w:rsidRDefault="00031D23" w:rsidP="00D46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Добровольное пенсионное страхование – </w:t>
      </w:r>
      <w:r w:rsidR="001B05E1">
        <w:rPr>
          <w:sz w:val="28"/>
          <w:szCs w:val="28"/>
        </w:rPr>
        <w:t>э</w:t>
      </w:r>
      <w:r>
        <w:rPr>
          <w:sz w:val="28"/>
          <w:szCs w:val="28"/>
        </w:rPr>
        <w:t>то отдельный договор, заключ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емый с НПФ или страховой компанией, по которому </w:t>
      </w:r>
      <w:r w:rsidRPr="00031D23">
        <w:rPr>
          <w:i/>
          <w:sz w:val="28"/>
          <w:szCs w:val="28"/>
        </w:rPr>
        <w:t>гражданин, а не работ</w:t>
      </w:r>
      <w:r w:rsidRPr="00031D23">
        <w:rPr>
          <w:i/>
          <w:sz w:val="28"/>
          <w:szCs w:val="28"/>
        </w:rPr>
        <w:t>о</w:t>
      </w:r>
      <w:r w:rsidRPr="00031D23">
        <w:rPr>
          <w:i/>
          <w:sz w:val="28"/>
          <w:szCs w:val="28"/>
        </w:rPr>
        <w:t>датель</w:t>
      </w:r>
      <w:r>
        <w:rPr>
          <w:i/>
          <w:sz w:val="28"/>
          <w:szCs w:val="28"/>
        </w:rPr>
        <w:t xml:space="preserve">, </w:t>
      </w:r>
      <w:r w:rsidRPr="00031D23">
        <w:rPr>
          <w:sz w:val="28"/>
          <w:szCs w:val="28"/>
        </w:rPr>
        <w:t>бу</w:t>
      </w:r>
      <w:r>
        <w:rPr>
          <w:sz w:val="28"/>
          <w:szCs w:val="28"/>
        </w:rPr>
        <w:t>дет ежемесячно перечислят</w:t>
      </w:r>
      <w:r w:rsidR="006F488D">
        <w:rPr>
          <w:sz w:val="28"/>
          <w:szCs w:val="28"/>
        </w:rPr>
        <w:t>ь</w:t>
      </w:r>
      <w:r>
        <w:rPr>
          <w:sz w:val="28"/>
          <w:szCs w:val="28"/>
        </w:rPr>
        <w:t xml:space="preserve"> страховые взносы до наступления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хового случая. Добровольное пенсионное страхование, по сути, один из видов накопительного страхования жизни. </w:t>
      </w:r>
    </w:p>
    <w:p w:rsidR="00A76B69" w:rsidRDefault="00A76B69" w:rsidP="00A7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r w:rsidRPr="00D460CA">
        <w:rPr>
          <w:sz w:val="28"/>
          <w:szCs w:val="28"/>
        </w:rPr>
        <w:t>отмеч</w:t>
      </w:r>
      <w:r>
        <w:rPr>
          <w:sz w:val="28"/>
          <w:szCs w:val="28"/>
        </w:rPr>
        <w:t>ено</w:t>
      </w:r>
      <w:r w:rsidRPr="00D460CA">
        <w:rPr>
          <w:sz w:val="28"/>
          <w:szCs w:val="28"/>
        </w:rPr>
        <w:t>, что информация об обязательном и добровол</w:t>
      </w:r>
      <w:r w:rsidRPr="00D460CA">
        <w:rPr>
          <w:sz w:val="28"/>
          <w:szCs w:val="28"/>
        </w:rPr>
        <w:t>ь</w:t>
      </w:r>
      <w:r w:rsidRPr="00D460CA">
        <w:rPr>
          <w:sz w:val="28"/>
          <w:szCs w:val="28"/>
        </w:rPr>
        <w:t xml:space="preserve">ном пенсионном страховании, осуществляемом в соответствии с Федеральным законом от 15 декабря 2001 г. № 167-ФЗ </w:t>
      </w:r>
      <w:r>
        <w:rPr>
          <w:sz w:val="28"/>
          <w:szCs w:val="28"/>
        </w:rPr>
        <w:t>«</w:t>
      </w:r>
      <w:r w:rsidRPr="00D460CA">
        <w:rPr>
          <w:sz w:val="28"/>
          <w:szCs w:val="28"/>
        </w:rPr>
        <w:t>Об обязательном пенсионном страх</w:t>
      </w:r>
      <w:r w:rsidRPr="00D460CA">
        <w:rPr>
          <w:sz w:val="28"/>
          <w:szCs w:val="28"/>
        </w:rPr>
        <w:t>о</w:t>
      </w:r>
      <w:r w:rsidRPr="00D460CA">
        <w:rPr>
          <w:sz w:val="28"/>
          <w:szCs w:val="28"/>
        </w:rPr>
        <w:t>вании в Российской Федерации</w:t>
      </w:r>
      <w:r>
        <w:rPr>
          <w:sz w:val="28"/>
          <w:szCs w:val="28"/>
        </w:rPr>
        <w:t>»</w:t>
      </w:r>
      <w:r w:rsidRPr="00D460CA">
        <w:rPr>
          <w:sz w:val="28"/>
          <w:szCs w:val="28"/>
        </w:rPr>
        <w:t>, а также Федеральны</w:t>
      </w:r>
      <w:r>
        <w:rPr>
          <w:sz w:val="28"/>
          <w:szCs w:val="28"/>
        </w:rPr>
        <w:t>м</w:t>
      </w:r>
      <w:r w:rsidRPr="00D460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460CA">
        <w:rPr>
          <w:sz w:val="28"/>
          <w:szCs w:val="28"/>
        </w:rPr>
        <w:t xml:space="preserve"> от 28 декабря 2013 г. № 400-ФЗ </w:t>
      </w:r>
      <w:r>
        <w:rPr>
          <w:sz w:val="28"/>
          <w:szCs w:val="28"/>
        </w:rPr>
        <w:t>«</w:t>
      </w:r>
      <w:r w:rsidRPr="00D460CA">
        <w:rPr>
          <w:sz w:val="28"/>
          <w:szCs w:val="28"/>
        </w:rPr>
        <w:t>О страховых пенсиях</w:t>
      </w:r>
      <w:r>
        <w:rPr>
          <w:sz w:val="28"/>
          <w:szCs w:val="28"/>
        </w:rPr>
        <w:t>»</w:t>
      </w:r>
      <w:r w:rsidRPr="00D460CA">
        <w:rPr>
          <w:sz w:val="28"/>
          <w:szCs w:val="28"/>
        </w:rPr>
        <w:t xml:space="preserve"> также не подлежит отражению в ра</w:t>
      </w:r>
      <w:r w:rsidRPr="00D460CA">
        <w:rPr>
          <w:sz w:val="28"/>
          <w:szCs w:val="28"/>
        </w:rPr>
        <w:t>с</w:t>
      </w:r>
      <w:r w:rsidRPr="00D460CA">
        <w:rPr>
          <w:sz w:val="28"/>
          <w:szCs w:val="28"/>
        </w:rPr>
        <w:t>сматриваемом подразделе справки.</w:t>
      </w:r>
      <w:r>
        <w:rPr>
          <w:sz w:val="28"/>
          <w:szCs w:val="28"/>
        </w:rPr>
        <w:t xml:space="preserve"> </w:t>
      </w:r>
    </w:p>
    <w:p w:rsidR="00B711C4" w:rsidRPr="00031D23" w:rsidRDefault="00031D23" w:rsidP="00D460CA">
      <w:pPr>
        <w:ind w:firstLine="567"/>
        <w:jc w:val="both"/>
        <w:rPr>
          <w:i/>
          <w:sz w:val="28"/>
          <w:szCs w:val="28"/>
        </w:rPr>
      </w:pPr>
      <w:r w:rsidRPr="00031D23">
        <w:rPr>
          <w:i/>
          <w:sz w:val="28"/>
          <w:szCs w:val="28"/>
        </w:rPr>
        <w:t>(Другими словами, те отчисления, которые у нас идут из заработной платы в НПФ в данном разделе не указываются).</w:t>
      </w:r>
    </w:p>
    <w:p w:rsidR="00A76B69" w:rsidRDefault="000E6FEA" w:rsidP="008C507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Также в </w:t>
      </w:r>
      <w:r w:rsidR="00A76B69" w:rsidRPr="00A76B69">
        <w:rPr>
          <w:b/>
          <w:sz w:val="28"/>
          <w:szCs w:val="28"/>
        </w:rPr>
        <w:t>данном подразделе должны быть указаны</w:t>
      </w:r>
      <w:r w:rsidR="00A76B69">
        <w:rPr>
          <w:b/>
          <w:i/>
          <w:sz w:val="28"/>
          <w:szCs w:val="28"/>
        </w:rPr>
        <w:t xml:space="preserve"> </w:t>
      </w:r>
      <w:r w:rsidR="008C5072" w:rsidRPr="00A76B69">
        <w:rPr>
          <w:b/>
          <w:i/>
          <w:sz w:val="28"/>
          <w:szCs w:val="28"/>
        </w:rPr>
        <w:t>обязательства по договорам</w:t>
      </w:r>
      <w:r w:rsidR="008C5072">
        <w:rPr>
          <w:b/>
          <w:sz w:val="28"/>
          <w:szCs w:val="28"/>
        </w:rPr>
        <w:t xml:space="preserve"> о брокерском обслуживании и </w:t>
      </w:r>
      <w:r w:rsidR="00A76B69" w:rsidRPr="00A76B69">
        <w:rPr>
          <w:b/>
          <w:i/>
          <w:sz w:val="28"/>
          <w:szCs w:val="28"/>
        </w:rPr>
        <w:t xml:space="preserve">обязательства </w:t>
      </w:r>
      <w:r w:rsidR="00A76B69">
        <w:rPr>
          <w:b/>
          <w:i/>
          <w:sz w:val="28"/>
          <w:szCs w:val="28"/>
        </w:rPr>
        <w:t xml:space="preserve">по </w:t>
      </w:r>
      <w:r w:rsidR="008C5072" w:rsidRPr="00A76B69">
        <w:rPr>
          <w:b/>
          <w:i/>
          <w:sz w:val="28"/>
          <w:szCs w:val="28"/>
        </w:rPr>
        <w:t>договорам</w:t>
      </w:r>
      <w:r w:rsidR="008C5072">
        <w:rPr>
          <w:b/>
          <w:sz w:val="28"/>
          <w:szCs w:val="28"/>
        </w:rPr>
        <w:t xml:space="preserve"> дов</w:t>
      </w:r>
      <w:r w:rsidR="008C5072">
        <w:rPr>
          <w:b/>
          <w:sz w:val="28"/>
          <w:szCs w:val="28"/>
        </w:rPr>
        <w:t>е</w:t>
      </w:r>
      <w:r w:rsidR="008C5072">
        <w:rPr>
          <w:b/>
          <w:sz w:val="28"/>
          <w:szCs w:val="28"/>
        </w:rPr>
        <w:t xml:space="preserve">рительного управления ценными бумагами, в том числе по договорам, предусматривающим ведение индивидуального инвестиционного счета. </w:t>
      </w:r>
    </w:p>
    <w:p w:rsidR="008C5072" w:rsidRDefault="008C5072" w:rsidP="008C5072">
      <w:pPr>
        <w:ind w:firstLine="567"/>
        <w:jc w:val="both"/>
        <w:rPr>
          <w:sz w:val="28"/>
          <w:szCs w:val="28"/>
        </w:rPr>
      </w:pPr>
      <w:r w:rsidRPr="00D526B3">
        <w:rPr>
          <w:sz w:val="28"/>
          <w:szCs w:val="28"/>
        </w:rPr>
        <w:t>В рамках договора на брокерское обслуживание либо договора довер</w:t>
      </w:r>
      <w:r w:rsidRPr="00D526B3">
        <w:rPr>
          <w:sz w:val="28"/>
          <w:szCs w:val="28"/>
        </w:rPr>
        <w:t>и</w:t>
      </w:r>
      <w:r w:rsidRPr="00D526B3">
        <w:rPr>
          <w:sz w:val="28"/>
          <w:szCs w:val="28"/>
        </w:rPr>
        <w:t>тельного управления ценными бумагами у клиента и профессионального учас</w:t>
      </w:r>
      <w:r w:rsidRPr="00D526B3">
        <w:rPr>
          <w:sz w:val="28"/>
          <w:szCs w:val="28"/>
        </w:rPr>
        <w:t>т</w:t>
      </w:r>
      <w:r w:rsidRPr="00D526B3">
        <w:rPr>
          <w:sz w:val="28"/>
          <w:szCs w:val="28"/>
        </w:rPr>
        <w:t>ника рынка ценных бумаг возникает ряд взаимных обязательств денежного х</w:t>
      </w:r>
      <w:r w:rsidRPr="00D526B3">
        <w:rPr>
          <w:sz w:val="28"/>
          <w:szCs w:val="28"/>
        </w:rPr>
        <w:t>а</w:t>
      </w:r>
      <w:r w:rsidRPr="00D526B3">
        <w:rPr>
          <w:sz w:val="28"/>
          <w:szCs w:val="28"/>
        </w:rPr>
        <w:t>рактера (у клиента – обязательства по оплате вознаграждения, у професси</w:t>
      </w:r>
      <w:r w:rsidRPr="00D526B3">
        <w:rPr>
          <w:sz w:val="28"/>
          <w:szCs w:val="28"/>
        </w:rPr>
        <w:t>о</w:t>
      </w:r>
      <w:r w:rsidRPr="00D526B3">
        <w:rPr>
          <w:sz w:val="28"/>
          <w:szCs w:val="28"/>
        </w:rPr>
        <w:t>нального участника – обязательства вернуть по требованию клиента переда</w:t>
      </w:r>
      <w:r w:rsidRPr="00D526B3">
        <w:rPr>
          <w:sz w:val="28"/>
          <w:szCs w:val="28"/>
        </w:rPr>
        <w:t>н</w:t>
      </w:r>
      <w:r w:rsidRPr="00D526B3">
        <w:rPr>
          <w:sz w:val="28"/>
          <w:szCs w:val="28"/>
        </w:rPr>
        <w:t xml:space="preserve">ные денежные средства). </w:t>
      </w:r>
    </w:p>
    <w:p w:rsidR="008C5072" w:rsidRDefault="008C5072" w:rsidP="008C507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E6FEA">
        <w:rPr>
          <w:sz w:val="28"/>
          <w:szCs w:val="28"/>
        </w:rPr>
        <w:t>данном случае</w:t>
      </w:r>
      <w:r>
        <w:rPr>
          <w:sz w:val="28"/>
          <w:szCs w:val="28"/>
        </w:rPr>
        <w:t xml:space="preserve"> подлежат отражению сведения о денежных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ствах клиента и профессионального участника рынка ценных бумаг, возникших в рамках соответствующего договора, которые равны или превышают </w:t>
      </w:r>
      <w:r w:rsidR="006F488D">
        <w:rPr>
          <w:sz w:val="28"/>
          <w:szCs w:val="28"/>
        </w:rPr>
        <w:br/>
      </w:r>
      <w:r>
        <w:rPr>
          <w:sz w:val="28"/>
          <w:szCs w:val="28"/>
        </w:rPr>
        <w:t xml:space="preserve">500 000 руб. Денежные обязательства профессионального участника рынка ценных бумаг указываются за вычетом </w:t>
      </w:r>
      <w:r w:rsidRPr="00F858B6">
        <w:rPr>
          <w:sz w:val="28"/>
          <w:szCs w:val="28"/>
        </w:rPr>
        <w:t xml:space="preserve">стоимости приобретенных в рамках </w:t>
      </w:r>
      <w:r w:rsidR="006F488D">
        <w:rPr>
          <w:sz w:val="28"/>
          <w:szCs w:val="28"/>
        </w:rPr>
        <w:br/>
      </w:r>
      <w:r w:rsidRPr="00F858B6">
        <w:rPr>
          <w:sz w:val="28"/>
          <w:szCs w:val="28"/>
        </w:rPr>
        <w:t>договора на брокерское обслуживание либо договора доверительного управл</w:t>
      </w:r>
      <w:r w:rsidRPr="00F858B6">
        <w:rPr>
          <w:sz w:val="28"/>
          <w:szCs w:val="28"/>
        </w:rPr>
        <w:t>е</w:t>
      </w:r>
      <w:r w:rsidRPr="00F858B6">
        <w:rPr>
          <w:sz w:val="28"/>
          <w:szCs w:val="28"/>
        </w:rPr>
        <w:t>ния ценных бумаг</w:t>
      </w:r>
      <w:r>
        <w:rPr>
          <w:sz w:val="28"/>
          <w:szCs w:val="28"/>
        </w:rPr>
        <w:t>.</w:t>
      </w:r>
      <w:proofErr w:type="gramEnd"/>
    </w:p>
    <w:sectPr w:rsidR="008C5072" w:rsidSect="006F488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24" w:rsidRDefault="00D11A24">
      <w:r>
        <w:separator/>
      </w:r>
    </w:p>
  </w:endnote>
  <w:endnote w:type="continuationSeparator" w:id="0">
    <w:p w:rsidR="00D11A24" w:rsidRDefault="00D1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57" w:rsidRDefault="00FA794C" w:rsidP="00EE1D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057" w:rsidRDefault="00D11A24" w:rsidP="00EE1D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57" w:rsidRDefault="00D11A24" w:rsidP="00EE1D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24" w:rsidRDefault="00D11A24">
      <w:r>
        <w:separator/>
      </w:r>
    </w:p>
  </w:footnote>
  <w:footnote w:type="continuationSeparator" w:id="0">
    <w:p w:rsidR="00D11A24" w:rsidRDefault="00D11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57" w:rsidRDefault="00FA794C" w:rsidP="001E31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057" w:rsidRDefault="00D11A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57" w:rsidRDefault="00FA794C" w:rsidP="001E31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382D">
      <w:rPr>
        <w:rStyle w:val="a7"/>
        <w:noProof/>
      </w:rPr>
      <w:t>4</w:t>
    </w:r>
    <w:r>
      <w:rPr>
        <w:rStyle w:val="a7"/>
      </w:rPr>
      <w:fldChar w:fldCharType="end"/>
    </w:r>
  </w:p>
  <w:p w:rsidR="009C0057" w:rsidRDefault="00D11A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CB"/>
    <w:rsid w:val="00031D23"/>
    <w:rsid w:val="000B01D5"/>
    <w:rsid w:val="000E6FEA"/>
    <w:rsid w:val="00107D2F"/>
    <w:rsid w:val="00137973"/>
    <w:rsid w:val="00146340"/>
    <w:rsid w:val="001B05E1"/>
    <w:rsid w:val="001B12F2"/>
    <w:rsid w:val="00222244"/>
    <w:rsid w:val="00230568"/>
    <w:rsid w:val="00276D1C"/>
    <w:rsid w:val="00297087"/>
    <w:rsid w:val="002D56C7"/>
    <w:rsid w:val="00374D55"/>
    <w:rsid w:val="003A5D65"/>
    <w:rsid w:val="0048538E"/>
    <w:rsid w:val="004C197D"/>
    <w:rsid w:val="004C521F"/>
    <w:rsid w:val="004E3B87"/>
    <w:rsid w:val="004F18FA"/>
    <w:rsid w:val="005A47F1"/>
    <w:rsid w:val="005E1724"/>
    <w:rsid w:val="00634EC8"/>
    <w:rsid w:val="00642A1C"/>
    <w:rsid w:val="00650FA0"/>
    <w:rsid w:val="006A3CA8"/>
    <w:rsid w:val="006F488D"/>
    <w:rsid w:val="007050DE"/>
    <w:rsid w:val="00725633"/>
    <w:rsid w:val="00763172"/>
    <w:rsid w:val="00770A86"/>
    <w:rsid w:val="00783B12"/>
    <w:rsid w:val="007B3DB3"/>
    <w:rsid w:val="008245AA"/>
    <w:rsid w:val="0084265F"/>
    <w:rsid w:val="008A7293"/>
    <w:rsid w:val="008C5072"/>
    <w:rsid w:val="008E172F"/>
    <w:rsid w:val="008F66FC"/>
    <w:rsid w:val="009251EA"/>
    <w:rsid w:val="00A0505E"/>
    <w:rsid w:val="00A3024B"/>
    <w:rsid w:val="00A30638"/>
    <w:rsid w:val="00A76B69"/>
    <w:rsid w:val="00A868AC"/>
    <w:rsid w:val="00A9133F"/>
    <w:rsid w:val="00B11E72"/>
    <w:rsid w:val="00B304DD"/>
    <w:rsid w:val="00B61CCB"/>
    <w:rsid w:val="00B711C4"/>
    <w:rsid w:val="00B93D25"/>
    <w:rsid w:val="00C5149D"/>
    <w:rsid w:val="00C56E22"/>
    <w:rsid w:val="00C76E6B"/>
    <w:rsid w:val="00C91BA2"/>
    <w:rsid w:val="00C97716"/>
    <w:rsid w:val="00CD5E55"/>
    <w:rsid w:val="00CD7D2B"/>
    <w:rsid w:val="00D11A24"/>
    <w:rsid w:val="00D31CBF"/>
    <w:rsid w:val="00D42CF8"/>
    <w:rsid w:val="00D460CA"/>
    <w:rsid w:val="00E1382D"/>
    <w:rsid w:val="00E60CED"/>
    <w:rsid w:val="00ED1842"/>
    <w:rsid w:val="00F26C4F"/>
    <w:rsid w:val="00F53AF9"/>
    <w:rsid w:val="00FA794C"/>
    <w:rsid w:val="00F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2F2"/>
    <w:pPr>
      <w:spacing w:after="0" w:line="240" w:lineRule="auto"/>
    </w:pPr>
  </w:style>
  <w:style w:type="character" w:styleId="a4">
    <w:name w:val="Hyperlink"/>
    <w:rsid w:val="001B12F2"/>
    <w:rPr>
      <w:color w:val="CC0000"/>
      <w:u w:val="single"/>
    </w:rPr>
  </w:style>
  <w:style w:type="paragraph" w:styleId="a5">
    <w:name w:val="footer"/>
    <w:basedOn w:val="a"/>
    <w:link w:val="a6"/>
    <w:rsid w:val="001B12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1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B12F2"/>
  </w:style>
  <w:style w:type="paragraph" w:styleId="a8">
    <w:name w:val="header"/>
    <w:basedOn w:val="a"/>
    <w:link w:val="a9"/>
    <w:rsid w:val="001B1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1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47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A79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79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2F2"/>
    <w:pPr>
      <w:spacing w:after="0" w:line="240" w:lineRule="auto"/>
    </w:pPr>
  </w:style>
  <w:style w:type="character" w:styleId="a4">
    <w:name w:val="Hyperlink"/>
    <w:rsid w:val="001B12F2"/>
    <w:rPr>
      <w:color w:val="CC0000"/>
      <w:u w:val="single"/>
    </w:rPr>
  </w:style>
  <w:style w:type="paragraph" w:styleId="a5">
    <w:name w:val="footer"/>
    <w:basedOn w:val="a"/>
    <w:link w:val="a6"/>
    <w:rsid w:val="001B12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1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B12F2"/>
  </w:style>
  <w:style w:type="paragraph" w:styleId="a8">
    <w:name w:val="header"/>
    <w:basedOn w:val="a"/>
    <w:link w:val="a9"/>
    <w:rsid w:val="001B1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1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47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A79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7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Атагалева</dc:creator>
  <cp:lastModifiedBy>Атагалева</cp:lastModifiedBy>
  <cp:revision>9</cp:revision>
  <cp:lastPrinted>2019-02-26T11:15:00Z</cp:lastPrinted>
  <dcterms:created xsi:type="dcterms:W3CDTF">2019-02-24T13:23:00Z</dcterms:created>
  <dcterms:modified xsi:type="dcterms:W3CDTF">2019-02-28T07:42:00Z</dcterms:modified>
</cp:coreProperties>
</file>